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LO-normal"/>
        <w:rPr>
          <w:b/>
          <w:sz w:val="24"/>
          <w:szCs w:val="24"/>
        </w:rPr>
      </w:pPr>
      <w:r>
        <w:rPr>
          <w:b/>
          <w:sz w:val="24"/>
          <w:szCs w:val="24"/>
        </w:rPr>
        <w:t>Introducción de GPC urgencias</w:t>
      </w:r>
    </w:p>
    <w:p>
      <w:pPr>
        <w:pStyle w:val="LO-normal"/>
        <w:rPr>
          <w:b/>
          <w:sz w:val="24"/>
          <w:szCs w:val="24"/>
        </w:rPr>
      </w:pPr>
      <w:r>
        <w:rPr>
          <w:b/>
          <w:sz w:val="24"/>
          <w:szCs w:val="24"/>
        </w:rPr>
      </w:r>
    </w:p>
    <w:p>
      <w:pPr>
        <w:pStyle w:val="LO-normal"/>
        <w:jc w:val="both"/>
        <w:rPr>
          <w:b/>
          <w:sz w:val="24"/>
          <w:szCs w:val="24"/>
        </w:rPr>
      </w:pPr>
      <w:r>
        <w:rPr>
          <w:b/>
          <w:sz w:val="24"/>
          <w:szCs w:val="24"/>
        </w:rPr>
        <w:t>Trauma craneoencefálico severo:</w:t>
      </w:r>
    </w:p>
    <w:p>
      <w:pPr>
        <w:pStyle w:val="LO-normal"/>
        <w:jc w:val="both"/>
        <w:rPr/>
      </w:pPr>
      <w:r>
        <w:rPr/>
      </w:r>
    </w:p>
    <w:p>
      <w:pPr>
        <w:pStyle w:val="LO-normal"/>
        <w:jc w:val="both"/>
        <w:rPr>
          <w:sz w:val="24"/>
          <w:szCs w:val="24"/>
        </w:rPr>
      </w:pPr>
      <w:r>
        <w:rPr>
          <w:sz w:val="24"/>
          <w:szCs w:val="24"/>
        </w:rPr>
        <w:t xml:space="preserve">El trauma craneoencefálico (TCE) se define como una enfermedad caracterizada por una alteración cerebral secundaria a una lesión traumática producida por la liberación de una fuerza externa ya sea en forma de energía mecánica, química, térmica, eléctrica, radiante o una combinación de éstas. Esta transmisión de energía a la cavidad craneana resulta en un daño estructural del contenido de ésta, incluyendo el tejido cerebral y los vasos sanguíneos que irrigan este tejido. </w:t>
      </w:r>
    </w:p>
    <w:p>
      <w:pPr>
        <w:pStyle w:val="LO-normal"/>
        <w:jc w:val="both"/>
        <w:rPr>
          <w:color w:val="212529"/>
          <w:sz w:val="24"/>
          <w:szCs w:val="24"/>
          <w:highlight w:val="white"/>
        </w:rPr>
      </w:pPr>
      <w:r>
        <w:rPr>
          <w:color w:val="212529"/>
          <w:sz w:val="24"/>
          <w:szCs w:val="24"/>
          <w:highlight w:val="white"/>
        </w:rPr>
        <w:t xml:space="preserve">El Trauma craneoencefálico (TCE) se ha convertido en un problema de salud pública conocido como “la epidemia silenciosa” en población predominantemente joven y económicamente activa de los países de bajos y moderados ingresos, según la Organización Mundial de la Salud (OMS) el TCE superará muchas enfermedades como la principal causa de muerte y discapacidad para el año 2020. </w:t>
      </w:r>
    </w:p>
    <w:p>
      <w:pPr>
        <w:pStyle w:val="LO-normal"/>
        <w:jc w:val="both"/>
        <w:rPr>
          <w:color w:val="212529"/>
          <w:sz w:val="24"/>
          <w:szCs w:val="24"/>
          <w:highlight w:val="white"/>
        </w:rPr>
      </w:pPr>
      <w:r>
        <w:rPr>
          <w:color w:val="212529"/>
          <w:sz w:val="24"/>
          <w:szCs w:val="24"/>
          <w:highlight w:val="white"/>
        </w:rPr>
      </w:r>
    </w:p>
    <w:p>
      <w:pPr>
        <w:pStyle w:val="LO-normal"/>
        <w:jc w:val="both"/>
        <w:rPr>
          <w:b/>
          <w:color w:val="212529"/>
          <w:sz w:val="24"/>
          <w:szCs w:val="24"/>
          <w:highlight w:val="white"/>
        </w:rPr>
      </w:pPr>
      <w:r>
        <w:rPr>
          <w:b/>
          <w:color w:val="212529"/>
          <w:sz w:val="24"/>
          <w:szCs w:val="24"/>
          <w:highlight w:val="white"/>
        </w:rPr>
        <w:t xml:space="preserve">Trastorno depresivo: </w:t>
      </w:r>
    </w:p>
    <w:p>
      <w:pPr>
        <w:pStyle w:val="LO-normal"/>
        <w:jc w:val="both"/>
        <w:rPr>
          <w:color w:val="212529"/>
          <w:sz w:val="24"/>
          <w:szCs w:val="24"/>
          <w:highlight w:val="white"/>
        </w:rPr>
      </w:pPr>
      <w:r>
        <w:rPr>
          <w:color w:val="212529"/>
          <w:sz w:val="24"/>
          <w:szCs w:val="24"/>
          <w:highlight w:val="white"/>
        </w:rPr>
      </w:r>
    </w:p>
    <w:p>
      <w:pPr>
        <w:pStyle w:val="LO-normal"/>
        <w:jc w:val="both"/>
        <w:rPr>
          <w:color w:val="212529"/>
          <w:sz w:val="24"/>
          <w:szCs w:val="24"/>
          <w:highlight w:val="white"/>
        </w:rPr>
      </w:pPr>
      <w:r>
        <w:rPr>
          <w:color w:val="212529"/>
          <w:sz w:val="24"/>
          <w:szCs w:val="24"/>
          <w:highlight w:val="white"/>
        </w:rPr>
        <w:t>El episodio depresivo (primer episodio) y el trastorno depresivo recurrente (más de un episodio, y llamado en otras clasificaciones depresión mayor) son un síndrome o agrupación de síntomas en el que predominan los síntomas afectivos (tristeza, decaimiento, irritabilidad, sensación subjetiva de malestar e impotencia frente a las exigencias de la vida), los cuales suelen acompañarse de otros síntomas que provocan malestar y configuran todos ellos una afectación global de la vida psíquica y dificultan el desarrollo de la vida cotidiana de quien padece la enfermedad. Es una enfermedad común entre la población colombiana, y que tiene un curso recurrente en el 50% de los pacientes durante los 10 primeros años y toma un curso crónico en el 30% de los casos. Representa, además, un factor de riesgo para sufrir otras enfermedades médicas o empeora los desenlaces médicos de los individuos con enfermedades comórbidas, lo cual hace que su pronóstico sea menos favorable. El riesgo y la complicación más temida de la depresión mayor es la muerte por suicidio.</w:t>
      </w:r>
    </w:p>
    <w:p>
      <w:pPr>
        <w:pStyle w:val="LO-normal"/>
        <w:jc w:val="both"/>
        <w:rPr>
          <w:color w:val="212529"/>
          <w:sz w:val="24"/>
          <w:szCs w:val="24"/>
          <w:highlight w:val="white"/>
        </w:rPr>
      </w:pPr>
      <w:r>
        <w:rPr>
          <w:color w:val="212529"/>
          <w:sz w:val="24"/>
          <w:szCs w:val="24"/>
          <w:highlight w:val="white"/>
        </w:rPr>
      </w:r>
    </w:p>
    <w:p>
      <w:pPr>
        <w:pStyle w:val="LO-normal"/>
        <w:jc w:val="both"/>
        <w:rPr>
          <w:b/>
          <w:color w:val="212529"/>
          <w:sz w:val="24"/>
          <w:szCs w:val="24"/>
          <w:highlight w:val="white"/>
        </w:rPr>
      </w:pPr>
      <w:r>
        <w:rPr>
          <w:b/>
          <w:color w:val="212529"/>
          <w:sz w:val="24"/>
          <w:szCs w:val="24"/>
          <w:highlight w:val="white"/>
        </w:rPr>
        <w:t>Infección de piel y tejidos blandos:</w:t>
      </w:r>
    </w:p>
    <w:p>
      <w:pPr>
        <w:pStyle w:val="LO-normal"/>
        <w:jc w:val="both"/>
        <w:rPr>
          <w:color w:val="212529"/>
          <w:sz w:val="24"/>
          <w:szCs w:val="24"/>
          <w:highlight w:val="white"/>
        </w:rPr>
      </w:pPr>
      <w:r>
        <w:rPr>
          <w:color w:val="212529"/>
          <w:sz w:val="24"/>
          <w:szCs w:val="24"/>
          <w:highlight w:val="white"/>
        </w:rPr>
      </w:r>
    </w:p>
    <w:p>
      <w:pPr>
        <w:pStyle w:val="LO-normal"/>
        <w:widowControl w:val="false"/>
        <w:tabs>
          <w:tab w:val="clear" w:pos="720"/>
          <w:tab w:val="left" w:pos="829" w:leader="none"/>
        </w:tabs>
        <w:spacing w:lineRule="auto" w:line="240"/>
        <w:ind w:left="0" w:hanging="0"/>
        <w:jc w:val="both"/>
        <w:rPr>
          <w:sz w:val="24"/>
          <w:szCs w:val="24"/>
        </w:rPr>
      </w:pPr>
      <w:r>
        <w:rPr>
          <w:sz w:val="24"/>
          <w:szCs w:val="24"/>
        </w:rPr>
        <w:t xml:space="preserve">Las infecciones de piel y tejidos blandos (IPTB) representan la tercera causa de consulta por enfermedades infecciosas a los servicios médicos, después de las infecciones respiratorias y urinarias. Estos tres grupos conforman cerca del 71,88% de visitas al servicio de urgencias en los Estados Unidos entre el 2006 y 2010. En Colombia, se ha reportado que el 2,7% de los pacientes consultan a un primer nivel por una de estas causas durante el año 2014. Se ha evidenciado un aumento en la incidencia de la infección de piel y tejidos blandos hasta en un 50%, lo anterior asociado al envejecimiento de la población, aumento del número de comorbilidades, inmunosupresión y uso indiscriminado de antibiótico. </w:t>
      </w:r>
    </w:p>
    <w:p>
      <w:pPr>
        <w:pStyle w:val="LO-normal"/>
        <w:widowControl w:val="false"/>
        <w:tabs>
          <w:tab w:val="clear" w:pos="720"/>
          <w:tab w:val="left" w:pos="829" w:leader="none"/>
        </w:tabs>
        <w:spacing w:lineRule="auto" w:line="240"/>
        <w:ind w:left="0" w:hanging="0"/>
        <w:jc w:val="both"/>
        <w:rPr>
          <w:sz w:val="24"/>
          <w:szCs w:val="24"/>
        </w:rPr>
      </w:pPr>
      <w:r>
        <w:rPr>
          <w:sz w:val="24"/>
          <w:szCs w:val="24"/>
        </w:rPr>
      </w:r>
    </w:p>
    <w:p>
      <w:pPr>
        <w:pStyle w:val="LO-normal"/>
        <w:widowControl w:val="false"/>
        <w:tabs>
          <w:tab w:val="clear" w:pos="720"/>
          <w:tab w:val="left" w:pos="829" w:leader="none"/>
        </w:tabs>
        <w:spacing w:lineRule="auto" w:line="240"/>
        <w:ind w:left="0" w:hanging="0"/>
        <w:jc w:val="both"/>
        <w:rPr>
          <w:sz w:val="24"/>
          <w:szCs w:val="24"/>
        </w:rPr>
      </w:pPr>
      <w:r>
        <w:rPr>
          <w:sz w:val="24"/>
          <w:szCs w:val="24"/>
        </w:rPr>
        <w:t>La infección de piel y tejidos blandos, son infecciones que afectan cualquier capa de la piel, fascia o músculo; siendo el agente etiológico principal el Staphylococcus aureus. Bacteria que reporta una resistencia hasta del 36% en Norteamérica, Latinoamérica y Europa. El S. aureus meticilino resistente adquirido en la comunidad (SAMR-AC) tiene una prevalencia global en Colombia del 45 al 51% en infecciones invasivas en pacientes de hospitales de cuarto nivel. Se calcula que de 16 a 34,1% de los pacientes con IPTB reciben un tratamiento inicial inapropiado; lo que se correlaciona con un incremento en la estancia hospitalaria, aumento de costos y mayor riesgo de mortalidad.</w:t>
      </w:r>
    </w:p>
    <w:p>
      <w:pPr>
        <w:pStyle w:val="LO-normal"/>
        <w:widowControl w:val="false"/>
        <w:tabs>
          <w:tab w:val="clear" w:pos="720"/>
          <w:tab w:val="left" w:pos="829" w:leader="none"/>
        </w:tabs>
        <w:spacing w:lineRule="auto" w:line="240"/>
        <w:ind w:left="0" w:hanging="0"/>
        <w:jc w:val="both"/>
        <w:rPr>
          <w:sz w:val="24"/>
          <w:szCs w:val="24"/>
        </w:rPr>
      </w:pPr>
      <w:r>
        <w:rPr>
          <w:sz w:val="24"/>
          <w:szCs w:val="24"/>
        </w:rPr>
      </w:r>
    </w:p>
    <w:p>
      <w:pPr>
        <w:pStyle w:val="LO-normal"/>
        <w:widowControl w:val="false"/>
        <w:tabs>
          <w:tab w:val="clear" w:pos="720"/>
          <w:tab w:val="left" w:pos="829" w:leader="none"/>
        </w:tabs>
        <w:spacing w:lineRule="auto" w:line="240"/>
        <w:ind w:left="0" w:hanging="0"/>
        <w:jc w:val="both"/>
        <w:rPr>
          <w:b/>
          <w:sz w:val="24"/>
          <w:szCs w:val="24"/>
        </w:rPr>
      </w:pPr>
      <w:r>
        <w:rPr>
          <w:b/>
          <w:sz w:val="24"/>
          <w:szCs w:val="24"/>
        </w:rPr>
        <w:t>Ideación suicida:</w:t>
      </w:r>
    </w:p>
    <w:p>
      <w:pPr>
        <w:pStyle w:val="LO-normal"/>
        <w:widowControl w:val="false"/>
        <w:tabs>
          <w:tab w:val="clear" w:pos="720"/>
          <w:tab w:val="left" w:pos="829" w:leader="none"/>
        </w:tabs>
        <w:spacing w:lineRule="auto" w:line="240"/>
        <w:ind w:left="0" w:hanging="0"/>
        <w:jc w:val="both"/>
        <w:rPr>
          <w:sz w:val="24"/>
          <w:szCs w:val="24"/>
        </w:rPr>
      </w:pPr>
      <w:r>
        <w:rPr>
          <w:sz w:val="24"/>
          <w:szCs w:val="24"/>
        </w:rPr>
      </w:r>
    </w:p>
    <w:p>
      <w:pPr>
        <w:pStyle w:val="LO-normal"/>
        <w:widowControl w:val="false"/>
        <w:tabs>
          <w:tab w:val="clear" w:pos="720"/>
          <w:tab w:val="left" w:pos="829" w:leader="none"/>
        </w:tabs>
        <w:spacing w:lineRule="auto" w:line="240"/>
        <w:ind w:left="0" w:hanging="0"/>
        <w:jc w:val="both"/>
        <w:rPr>
          <w:sz w:val="24"/>
          <w:szCs w:val="24"/>
        </w:rPr>
      </w:pPr>
      <w:r>
        <w:rPr>
          <w:sz w:val="24"/>
          <w:szCs w:val="24"/>
        </w:rPr>
        <w:t>La conducta suicida se refiere a los pensamientos o conductas que llevan al acto de quitarse la vida intencionalmente. Puede clasificarse en tres categorías: ideación, plan e intento suicidas.</w:t>
      </w:r>
    </w:p>
    <w:p>
      <w:pPr>
        <w:pStyle w:val="LO-normal"/>
        <w:widowControl w:val="false"/>
        <w:tabs>
          <w:tab w:val="clear" w:pos="720"/>
          <w:tab w:val="left" w:pos="829" w:leader="none"/>
        </w:tabs>
        <w:spacing w:lineRule="auto" w:line="240"/>
        <w:ind w:left="0" w:hanging="0"/>
        <w:jc w:val="both"/>
        <w:rPr>
          <w:sz w:val="24"/>
          <w:szCs w:val="24"/>
        </w:rPr>
      </w:pPr>
      <w:r>
        <w:rPr>
          <w:sz w:val="24"/>
          <w:szCs w:val="24"/>
        </w:rPr>
      </w:r>
    </w:p>
    <w:p>
      <w:pPr>
        <w:pStyle w:val="LO-normal"/>
        <w:widowControl w:val="false"/>
        <w:tabs>
          <w:tab w:val="clear" w:pos="720"/>
          <w:tab w:val="left" w:pos="829" w:leader="none"/>
        </w:tabs>
        <w:spacing w:lineRule="auto" w:line="240"/>
        <w:ind w:left="0" w:hanging="0"/>
        <w:jc w:val="both"/>
        <w:rPr>
          <w:color w:val="212529"/>
          <w:sz w:val="24"/>
          <w:szCs w:val="24"/>
        </w:rPr>
      </w:pPr>
      <w:r>
        <w:rPr>
          <w:color w:val="212529"/>
          <w:sz w:val="24"/>
          <w:szCs w:val="24"/>
        </w:rPr>
        <w:t>Entre enero y julio de 2023 la tasa de suicidios se incrementó en 15,73 % con respecto al mismo periodo de 2022, pasando de 1.564 a 1.810 casos, a raíz de diferentes padecimientos mentales presentes entre la población colombiana. Los intentos de suicidio atendidos sumaron 30.021 casos según cifras del Sistema Nacional de Vigilancia en Salud Pública.  Colombia se encuentra cinco veces por debajo de la meta de la OMS; aunque por encima del promedio de Latinoamérica; con 68,9 % de casos atendidos concentrados en Bogotá y en Antioquia, Valle y Atlántico.</w:t>
      </w:r>
    </w:p>
    <w:p>
      <w:pPr>
        <w:pStyle w:val="LO-normal"/>
        <w:widowControl w:val="false"/>
        <w:tabs>
          <w:tab w:val="clear" w:pos="720"/>
          <w:tab w:val="left" w:pos="829" w:leader="none"/>
        </w:tabs>
        <w:spacing w:lineRule="auto" w:line="240"/>
        <w:ind w:left="0" w:hanging="0"/>
        <w:jc w:val="both"/>
        <w:rPr>
          <w:color w:val="212529"/>
          <w:sz w:val="24"/>
          <w:szCs w:val="24"/>
        </w:rPr>
      </w:pPr>
      <w:r>
        <w:rPr>
          <w:color w:val="212529"/>
          <w:sz w:val="24"/>
          <w:szCs w:val="24"/>
        </w:rPr>
      </w:r>
    </w:p>
    <w:p>
      <w:pPr>
        <w:pStyle w:val="LO-normal"/>
        <w:widowControl w:val="false"/>
        <w:tabs>
          <w:tab w:val="clear" w:pos="720"/>
          <w:tab w:val="left" w:pos="829" w:leader="none"/>
        </w:tabs>
        <w:spacing w:lineRule="auto" w:line="240"/>
        <w:ind w:left="0" w:hanging="0"/>
        <w:jc w:val="both"/>
        <w:rPr>
          <w:color w:val="212529"/>
          <w:sz w:val="24"/>
          <w:szCs w:val="24"/>
        </w:rPr>
      </w:pPr>
      <w:r>
        <w:rPr>
          <w:color w:val="212529"/>
          <w:sz w:val="24"/>
          <w:szCs w:val="24"/>
        </w:rPr>
        <w:t xml:space="preserve">Entre los diagnósticos más comunes se encuentran, el trastorno mixto de ansiedad y depresión, la ansiedad no especificada, la ansiedad generalizada, el episodio depresivo moderado, la perturbación de la actividad y la atención, los trastornos de adaptación y la esquizofrenia paranoide. </w:t>
      </w:r>
    </w:p>
    <w:p>
      <w:pPr>
        <w:pStyle w:val="LO-normal"/>
        <w:widowControl w:val="false"/>
        <w:tabs>
          <w:tab w:val="clear" w:pos="720"/>
          <w:tab w:val="left" w:pos="829" w:leader="none"/>
        </w:tabs>
        <w:spacing w:lineRule="auto" w:line="240"/>
        <w:ind w:left="0" w:hanging="0"/>
        <w:jc w:val="both"/>
        <w:rPr>
          <w:color w:val="212529"/>
          <w:sz w:val="24"/>
          <w:szCs w:val="24"/>
        </w:rPr>
      </w:pPr>
      <w:r>
        <w:rPr>
          <w:color w:val="212529"/>
          <w:sz w:val="24"/>
          <w:szCs w:val="24"/>
        </w:rPr>
      </w:r>
    </w:p>
    <w:p>
      <w:pPr>
        <w:pStyle w:val="LO-normal"/>
        <w:widowControl w:val="false"/>
        <w:tabs>
          <w:tab w:val="clear" w:pos="720"/>
          <w:tab w:val="left" w:pos="829" w:leader="none"/>
        </w:tabs>
        <w:spacing w:lineRule="auto" w:line="240"/>
        <w:ind w:left="0" w:hanging="0"/>
        <w:jc w:val="both"/>
        <w:rPr>
          <w:b/>
          <w:color w:val="212529"/>
          <w:sz w:val="24"/>
          <w:szCs w:val="24"/>
        </w:rPr>
      </w:pPr>
      <w:r>
        <w:rPr>
          <w:b/>
          <w:color w:val="212529"/>
          <w:sz w:val="24"/>
          <w:szCs w:val="24"/>
        </w:rPr>
        <w:t xml:space="preserve">Dolor torácico: </w:t>
      </w:r>
    </w:p>
    <w:p>
      <w:pPr>
        <w:pStyle w:val="LO-normal"/>
        <w:widowControl w:val="false"/>
        <w:tabs>
          <w:tab w:val="clear" w:pos="720"/>
          <w:tab w:val="left" w:pos="829" w:leader="none"/>
        </w:tabs>
        <w:spacing w:lineRule="auto" w:line="240"/>
        <w:ind w:left="0" w:hanging="0"/>
        <w:jc w:val="both"/>
        <w:rPr>
          <w:color w:val="212529"/>
          <w:sz w:val="24"/>
          <w:szCs w:val="24"/>
        </w:rPr>
      </w:pPr>
      <w:r>
        <w:rPr>
          <w:color w:val="212529"/>
          <w:sz w:val="24"/>
          <w:szCs w:val="24"/>
        </w:rPr>
      </w:r>
    </w:p>
    <w:p>
      <w:pPr>
        <w:pStyle w:val="LO-normal"/>
        <w:widowControl w:val="false"/>
        <w:shd w:val="clear" w:fill="FFFFFF"/>
        <w:tabs>
          <w:tab w:val="clear" w:pos="720"/>
          <w:tab w:val="left" w:pos="829" w:leader="none"/>
        </w:tabs>
        <w:spacing w:lineRule="auto" w:line="240" w:before="0" w:after="160"/>
        <w:jc w:val="both"/>
        <w:rPr>
          <w:sz w:val="24"/>
          <w:szCs w:val="24"/>
        </w:rPr>
      </w:pPr>
      <w:r>
        <w:rPr>
          <w:sz w:val="24"/>
          <w:szCs w:val="24"/>
        </w:rPr>
        <w:t xml:space="preserve">El manejo de los pacientes que acuden a los servicios de urgencias con un dolor torácico indicativo de enfermedad coronaria aguda plantea un importante problema para el equipo de salud por diversas razones. La primera es su magnitud: el dolor torácico es uno de los motivos de consulta más frecuentes, representa entre el 5 y el 20% de los pacientes que acuden a los servicios de urgencias de un hospital. </w:t>
      </w:r>
    </w:p>
    <w:p>
      <w:pPr>
        <w:pStyle w:val="LO-normal"/>
        <w:widowControl w:val="false"/>
        <w:shd w:val="clear" w:fill="FFFFFF"/>
        <w:tabs>
          <w:tab w:val="clear" w:pos="720"/>
          <w:tab w:val="left" w:pos="829" w:leader="none"/>
        </w:tabs>
        <w:spacing w:lineRule="auto" w:line="240" w:before="0" w:after="160"/>
        <w:jc w:val="both"/>
        <w:rPr>
          <w:sz w:val="24"/>
          <w:szCs w:val="24"/>
        </w:rPr>
      </w:pPr>
      <w:r>
        <w:rPr>
          <w:sz w:val="24"/>
          <w:szCs w:val="24"/>
        </w:rPr>
        <w:t>En el 50% de los casos aproximadamente, el cuadro clínico se orienta en un principio como indicativo de un síndrome coronario agudo; no obstante, en menos de la mitad de estos pacientes se confirma finalmente tal diagnóstico. Por otro lado, entre el 2 y el 10% de los pacientes que son dados de alta desde los servicios de urgencias, por considerar que el origen del dolor no es coronario, presentan un infarto agudo de miocardio con una tasa de mortalidad elevada, el doble de la que corresponde a los enfermos ingresados.</w:t>
      </w:r>
    </w:p>
    <w:p>
      <w:pPr>
        <w:pStyle w:val="LO-normal"/>
        <w:widowControl w:val="false"/>
        <w:shd w:val="clear" w:fill="FFFFFF"/>
        <w:tabs>
          <w:tab w:val="clear" w:pos="720"/>
          <w:tab w:val="left" w:pos="829" w:leader="none"/>
        </w:tabs>
        <w:spacing w:lineRule="auto" w:line="240" w:before="0" w:after="160"/>
        <w:jc w:val="both"/>
        <w:rPr>
          <w:color w:val="212529"/>
          <w:sz w:val="24"/>
          <w:szCs w:val="24"/>
        </w:rPr>
      </w:pPr>
      <w:r>
        <w:rPr>
          <w:sz w:val="24"/>
          <w:szCs w:val="24"/>
        </w:rPr>
        <w:t xml:space="preserve">La atención al paciente que refiere dolor torácico o cualquier otro síntoma indicativo de isquemia coronaria se basa en la clasificación rápida en grupos de diferente riesgo. Para ello se utilizan datos clínicos y un electrocardiograma (ECG), que debe realizarse en los primeros 10 min de la llegada del paciente al hospital. Esta evaluación y clasificación iniciales deben completarse en el área de urgencias. </w:t>
      </w:r>
    </w:p>
    <w:p>
      <w:pPr>
        <w:pStyle w:val="Cuerpodetexto"/>
        <w:jc w:val="both"/>
        <w:rPr>
          <w:rFonts w:ascii="Arial" w:hAnsi="Arial"/>
          <w:b/>
          <w:bCs/>
        </w:rPr>
      </w:pPr>
      <w:r>
        <w:rPr>
          <w:b/>
          <w:bCs/>
        </w:rPr>
        <w:t>Síndrome coronario agudo</w:t>
      </w:r>
    </w:p>
    <w:p>
      <w:pPr>
        <w:pStyle w:val="ListParagraph"/>
        <w:tabs>
          <w:tab w:val="clear" w:pos="720"/>
          <w:tab w:val="left" w:pos="50" w:leader="none"/>
          <w:tab w:val="left" w:pos="829" w:leader="none"/>
        </w:tabs>
        <w:ind w:left="57" w:right="0" w:hanging="0"/>
        <w:jc w:val="both"/>
        <w:rPr>
          <w:rFonts w:ascii="Arial" w:hAnsi="Arial"/>
          <w:b w:val="false"/>
          <w:bCs w:val="false"/>
          <w:sz w:val="24"/>
          <w:szCs w:val="24"/>
        </w:rPr>
      </w:pPr>
      <w:r>
        <w:rPr>
          <w:b w:val="false"/>
          <w:bCs w:val="false"/>
          <w:sz w:val="24"/>
          <w:szCs w:val="24"/>
        </w:rPr>
        <w:t xml:space="preserve">La enfermedad cardiovascular (ECV) es la causa más común de mortalidad y morbilidaden todo el mundo, con una carga mayor en países de ingresos bajos o medios. El </w:t>
      </w:r>
      <w:r>
        <w:rPr>
          <w:b w:val="false"/>
          <w:bCs w:val="false"/>
          <w:color w:val="000000"/>
          <w:sz w:val="24"/>
          <w:szCs w:val="24"/>
        </w:rPr>
        <w:t>Síndrome coronario agudo (</w:t>
      </w:r>
      <w:r>
        <w:rPr>
          <w:b w:val="false"/>
          <w:bCs w:val="false"/>
          <w:sz w:val="24"/>
          <w:szCs w:val="24"/>
        </w:rPr>
        <w:t xml:space="preserve">SCA) suele ser la primera manifestación clínica de la ECV. En 2019, se estimó un número de 5,8 millones de casos nuevos de enfermedad cardiaca isquémica en los 57 países miembros de la ESC. La estimación de la incidencia media estandarizada por edad por 100.000 habitantes fue de 293,3 (rango intercuartílico 195,8-529,5). La ECV sigue siendo la causa más frecuente de muerte en los países miembros de la ESC, siendo responsable de la muerte de casi 2,2 millones de mujeres y de más de 1,9 millones de varones según los datos disponibles del año más reciente. La cardiopatía isquémica es la causa más común de muerte por enfermedad cardiovascular, y representa el 38% de todas las muertes cardiovasculares en mujeres y el 44% en varones. </w:t>
      </w:r>
    </w:p>
    <w:p>
      <w:pPr>
        <w:pStyle w:val="LO-normal"/>
        <w:widowControl w:val="false"/>
        <w:shd w:val="clear" w:fill="FFFFFF"/>
        <w:tabs>
          <w:tab w:val="clear" w:pos="720"/>
          <w:tab w:val="left" w:pos="829" w:leader="none"/>
        </w:tabs>
        <w:spacing w:lineRule="auto" w:line="240" w:before="0" w:after="160"/>
        <w:jc w:val="both"/>
        <w:rPr>
          <w:color w:val="212529"/>
          <w:sz w:val="24"/>
          <w:szCs w:val="24"/>
        </w:rPr>
      </w:pPr>
      <w:r>
        <w:rPr>
          <w:color w:val="212529"/>
          <w:sz w:val="24"/>
          <w:szCs w:val="24"/>
        </w:rPr>
      </w:r>
    </w:p>
    <w:p>
      <w:pPr>
        <w:pStyle w:val="Normal"/>
        <w:jc w:val="both"/>
        <w:rPr>
          <w:rFonts w:ascii="Arial" w:hAnsi="Arial"/>
          <w:b/>
          <w:bCs/>
          <w:color w:val="000000"/>
        </w:rPr>
      </w:pPr>
      <w:r>
        <w:rPr>
          <w:b/>
          <w:bCs/>
          <w:color w:val="000000"/>
        </w:rPr>
        <w:t>Apendicitis aguda adultos</w:t>
      </w:r>
    </w:p>
    <w:p>
      <w:pPr>
        <w:pStyle w:val="Normal"/>
        <w:jc w:val="both"/>
        <w:rPr>
          <w:rFonts w:ascii="Arial" w:hAnsi="Arial"/>
          <w:color w:val="000000"/>
        </w:rPr>
      </w:pPr>
      <w:r>
        <w:rPr>
          <w:color w:val="000000"/>
        </w:rPr>
      </w:r>
    </w:p>
    <w:p>
      <w:pPr>
        <w:pStyle w:val="ListParagraph"/>
        <w:tabs>
          <w:tab w:val="clear" w:pos="720"/>
          <w:tab w:val="left" w:pos="829" w:leader="none"/>
        </w:tabs>
        <w:ind w:left="0" w:right="0" w:hanging="0"/>
        <w:jc w:val="both"/>
        <w:rPr>
          <w:rFonts w:ascii="Arial" w:hAnsi="Arial"/>
          <w:b w:val="false"/>
          <w:bCs w:val="false"/>
          <w:sz w:val="24"/>
          <w:szCs w:val="24"/>
        </w:rPr>
      </w:pPr>
      <w:r>
        <w:rPr>
          <w:b w:val="false"/>
          <w:bCs w:val="false"/>
          <w:sz w:val="24"/>
          <w:szCs w:val="24"/>
        </w:rPr>
        <w:t xml:space="preserve">La apendicitis aguda (AA) es una de las causas más comunes de dolor abdominal agudo. El diagnóstico de la AA sigue siendo un reto y todavía existen algunas controversias sobre su manejo en diferentes entornos y patrones de práctica en todo el mundo.  </w:t>
      </w:r>
    </w:p>
    <w:p>
      <w:pPr>
        <w:pStyle w:val="ListParagraph"/>
        <w:tabs>
          <w:tab w:val="clear" w:pos="720"/>
          <w:tab w:val="left" w:pos="829" w:leader="none"/>
        </w:tabs>
        <w:ind w:left="828" w:right="0" w:hanging="361"/>
        <w:jc w:val="both"/>
        <w:rPr>
          <w:rFonts w:ascii="Arial" w:hAnsi="Arial"/>
          <w:b w:val="false"/>
          <w:bCs w:val="false"/>
          <w:sz w:val="24"/>
          <w:szCs w:val="24"/>
        </w:rPr>
      </w:pPr>
      <w:r>
        <w:rPr>
          <w:b w:val="false"/>
          <w:bCs w:val="false"/>
          <w:sz w:val="24"/>
          <w:szCs w:val="24"/>
        </w:rPr>
      </w:r>
    </w:p>
    <w:p>
      <w:pPr>
        <w:pStyle w:val="ListParagraph"/>
        <w:tabs>
          <w:tab w:val="clear" w:pos="720"/>
          <w:tab w:val="left" w:pos="829" w:leader="none"/>
        </w:tabs>
        <w:ind w:left="0" w:right="0" w:hanging="0"/>
        <w:jc w:val="both"/>
        <w:rPr>
          <w:rFonts w:ascii="Arial" w:hAnsi="Arial"/>
          <w:b w:val="false"/>
          <w:bCs w:val="false"/>
          <w:sz w:val="24"/>
          <w:szCs w:val="24"/>
        </w:rPr>
      </w:pPr>
      <w:r>
        <w:rPr>
          <w:b w:val="false"/>
          <w:bCs w:val="false"/>
          <w:sz w:val="24"/>
          <w:szCs w:val="24"/>
        </w:rPr>
        <w:t xml:space="preserve">El dolor abdominal agudo representa entre el 7 y el 10% de todos los accesos a los servicios de urgencias. La apendicitis aguda (AA) es una de las causas más frecuentes de dolor abdominal bajo, lo que lleva a los pacientes a acudir al servicio de urgencias y es el diagnóstico más frecuente que se realiza en pacientes jóvenes ingresados en el hospital con abdomen agudo. La incidencia de AA ha estado disminuyendo constantemente desde finales de la década de 1940. En los países desarrollados, la AA se presenta a una tasa de 5,7 a 50 pacientes por cada 100.000 habitantes al año, con un pico entre los 10 y los 30 años. </w:t>
      </w:r>
    </w:p>
    <w:p>
      <w:pPr>
        <w:pStyle w:val="ListParagraph"/>
        <w:tabs>
          <w:tab w:val="clear" w:pos="720"/>
          <w:tab w:val="left" w:pos="829" w:leader="none"/>
        </w:tabs>
        <w:ind w:left="0" w:right="0" w:hanging="0"/>
        <w:jc w:val="both"/>
        <w:rPr/>
      </w:pPr>
      <w:r>
        <w:rPr/>
      </w:r>
    </w:p>
    <w:p>
      <w:pPr>
        <w:pStyle w:val="ListParagraph"/>
        <w:tabs>
          <w:tab w:val="clear" w:pos="720"/>
          <w:tab w:val="left" w:pos="829" w:leader="none"/>
        </w:tabs>
        <w:ind w:left="0" w:right="0" w:hanging="0"/>
        <w:jc w:val="both"/>
        <w:rPr>
          <w:rFonts w:ascii="Arial" w:hAnsi="Arial"/>
          <w:b w:val="false"/>
          <w:bCs w:val="false"/>
          <w:sz w:val="24"/>
          <w:szCs w:val="24"/>
        </w:rPr>
      </w:pPr>
      <w:r>
        <w:rPr>
          <w:b w:val="false"/>
          <w:bCs w:val="false"/>
          <w:sz w:val="24"/>
          <w:szCs w:val="24"/>
        </w:rPr>
        <w:t xml:space="preserve">Desde que los cirujanos comenzaron a realizar apendicectomías en el siglo XIX, la cirugía ha sido el tratamiento más aceptado, con más de 300.000 apendicectomías realizadas anualmente en los EE. UU. [13]. La evidencia actual muestra que la apendicectomía laparoscópica (AI) es el tratamiento quirúrgico más efectivo, ya que se asocia con una menor incidencia de infección de la herida y morbilidad posintervención, una estancia hospitalaria más corta y mejores puntuaciones de calidad de vida en comparación con la apendicectomía abierta (OA). </w:t>
      </w:r>
    </w:p>
    <w:p>
      <w:pPr>
        <w:pStyle w:val="ListParagraph"/>
        <w:tabs>
          <w:tab w:val="clear" w:pos="720"/>
          <w:tab w:val="left" w:pos="829" w:leader="none"/>
        </w:tabs>
        <w:ind w:left="0" w:right="0" w:hanging="0"/>
        <w:jc w:val="both"/>
        <w:rPr/>
      </w:pPr>
      <w:r>
        <w:rPr/>
      </w:r>
    </w:p>
    <w:p>
      <w:pPr>
        <w:pStyle w:val="ListParagraph"/>
        <w:tabs>
          <w:tab w:val="clear" w:pos="720"/>
          <w:tab w:val="left" w:pos="829" w:leader="none"/>
        </w:tabs>
        <w:ind w:left="0" w:right="0" w:hanging="0"/>
        <w:jc w:val="both"/>
        <w:rPr>
          <w:rFonts w:ascii="Arial" w:hAnsi="Arial"/>
          <w:b/>
          <w:bCs/>
          <w:sz w:val="24"/>
          <w:szCs w:val="24"/>
        </w:rPr>
      </w:pPr>
      <w:r>
        <w:rPr>
          <w:b/>
          <w:bCs/>
          <w:sz w:val="24"/>
          <w:szCs w:val="24"/>
        </w:rPr>
        <w:t>Enfermedad litiásica biliar</w:t>
      </w:r>
    </w:p>
    <w:p>
      <w:pPr>
        <w:pStyle w:val="Normal"/>
        <w:jc w:val="both"/>
        <w:rPr>
          <w:rFonts w:ascii="Arial" w:hAnsi="Arial"/>
          <w:color w:val="000000"/>
        </w:rPr>
      </w:pPr>
      <w:r>
        <w:rPr>
          <w:color w:val="000000"/>
        </w:rPr>
      </w:r>
    </w:p>
    <w:p>
      <w:pPr>
        <w:pStyle w:val="Normal"/>
        <w:jc w:val="both"/>
        <w:rPr>
          <w:rFonts w:ascii="Arial" w:hAnsi="Arial"/>
          <w:color w:val="000000"/>
        </w:rPr>
      </w:pPr>
      <w:r>
        <w:rPr>
          <w:color w:val="000000"/>
        </w:rPr>
        <w:t xml:space="preserve">La colelitiasis ocurre cuando se forman depósitos duros de grasa o minerales (cálculos biliares) en la vesícula biliar. Se cree que aproximadamente el 15% de la población adulta padece esta enfermedad, y la mayoría de estas personas no experimentan síntomas. </w:t>
      </w:r>
    </w:p>
    <w:p>
      <w:pPr>
        <w:pStyle w:val="Normal"/>
        <w:jc w:val="both"/>
        <w:rPr>
          <w:rFonts w:ascii="Arial" w:hAnsi="Arial"/>
          <w:color w:val="000000"/>
        </w:rPr>
      </w:pPr>
      <w:r>
        <w:rPr>
          <w:color w:val="000000"/>
        </w:rPr>
        <w:t xml:space="preserve">Para una pequeña proporción de personas con colelitiasis, los cálculos irritan la vesícula biliar o bloquean parte del sistema biliar, y esto puede causar síntomas como dolor, infección e inflamación. Si estos síntomas no se tratan, los cálculos biliares pueden causar afecciones más graves y, en algunos casos, potencialmente mortales, como colecistitis, colangitis, pancreatitis e ictericia. </w:t>
      </w:r>
    </w:p>
    <w:p>
      <w:pPr>
        <w:pStyle w:val="Normal"/>
        <w:jc w:val="both"/>
        <w:rPr>
          <w:rFonts w:ascii="Arial" w:hAnsi="Arial"/>
          <w:color w:val="000000"/>
        </w:rPr>
      </w:pPr>
      <w:r>
        <w:rPr>
          <w:color w:val="000000"/>
        </w:rPr>
        <w:t xml:space="preserve">Existe una variación en la forma en que se maneja la colelitiasis. A algunas personas con colelitiasis asintomática se les ofrece tratamiento para prevenir el desarrollo de síntomas en el futuro, mientras que a otras se les ofrece un enfoque de observación y espera. Cuando las personas experimentan síntomas de colelitiasis, a menudo necesitan cirugía para extirpar la vesícula biliar. </w:t>
      </w:r>
    </w:p>
    <w:p>
      <w:pPr>
        <w:pStyle w:val="Normal"/>
        <w:jc w:val="both"/>
        <w:rPr>
          <w:rFonts w:ascii="Arial" w:hAnsi="Arial"/>
          <w:color w:val="000000"/>
        </w:rPr>
      </w:pPr>
      <w:r>
        <w:rPr>
          <w:color w:val="000000"/>
        </w:rPr>
      </w:r>
    </w:p>
    <w:p>
      <w:pPr>
        <w:pStyle w:val="Cuerpodetexto"/>
        <w:widowControl/>
        <w:spacing w:lineRule="auto" w:line="240"/>
        <w:ind w:left="0" w:right="0" w:hanging="0"/>
        <w:jc w:val="both"/>
        <w:rPr>
          <w:rFonts w:ascii="Arial" w:hAnsi="Arial"/>
          <w:b/>
          <w:bCs/>
          <w:i w:val="false"/>
          <w:i w:val="false"/>
          <w:caps w:val="false"/>
          <w:smallCaps w:val="false"/>
          <w:color w:val="000000"/>
          <w:spacing w:val="0"/>
          <w:sz w:val="24"/>
          <w:szCs w:val="24"/>
        </w:rPr>
      </w:pPr>
      <w:r>
        <w:rPr>
          <w:b/>
          <w:bCs/>
          <w:i w:val="false"/>
          <w:caps w:val="false"/>
          <w:smallCaps w:val="false"/>
          <w:color w:val="000000"/>
          <w:spacing w:val="0"/>
          <w:sz w:val="24"/>
          <w:szCs w:val="24"/>
        </w:rPr>
        <w:t xml:space="preserve">Hemorragia de vías digestivas altas no variceal </w:t>
      </w:r>
    </w:p>
    <w:p>
      <w:pPr>
        <w:pStyle w:val="Cuerpodetexto"/>
        <w:widowControl/>
        <w:spacing w:lineRule="auto" w:line="240"/>
        <w:ind w:left="0" w:right="0" w:hanging="0"/>
        <w:jc w:val="both"/>
        <w:rPr>
          <w:rFonts w:ascii="Arial" w:hAnsi="Arial"/>
          <w:b w:val="false"/>
          <w:i w:val="false"/>
          <w:i w:val="false"/>
          <w:caps w:val="false"/>
          <w:smallCaps w:val="false"/>
          <w:color w:val="000000"/>
          <w:spacing w:val="0"/>
          <w:sz w:val="24"/>
          <w:szCs w:val="24"/>
        </w:rPr>
      </w:pPr>
      <w:r>
        <w:rPr>
          <w:b w:val="false"/>
          <w:i w:val="false"/>
          <w:caps w:val="false"/>
          <w:smallCaps w:val="false"/>
          <w:color w:val="000000"/>
          <w:spacing w:val="0"/>
          <w:sz w:val="24"/>
          <w:szCs w:val="24"/>
        </w:rPr>
        <w:t xml:space="preserve">La hemorragia de vías digestivas altas (HVDA) es toda pérdida hemática cuyo origen se encuentra proximal a la segunda porción del duodeno. Se manifiesta con síntomas como hematemesis, melenas, melanemesis y con menos frecuencia hematoquecia. </w:t>
      </w:r>
    </w:p>
    <w:p>
      <w:pPr>
        <w:pStyle w:val="Cuerpodetexto"/>
        <w:widowControl/>
        <w:spacing w:lineRule="auto" w:line="240"/>
        <w:ind w:left="0" w:right="0" w:hanging="0"/>
        <w:jc w:val="both"/>
        <w:rPr>
          <w:rFonts w:ascii="Arial" w:hAnsi="Arial"/>
          <w:b w:val="false"/>
          <w:i w:val="false"/>
          <w:i w:val="false"/>
          <w:caps w:val="false"/>
          <w:smallCaps w:val="false"/>
          <w:color w:val="000000"/>
          <w:spacing w:val="0"/>
          <w:sz w:val="24"/>
          <w:szCs w:val="24"/>
        </w:rPr>
      </w:pPr>
      <w:r>
        <w:rPr>
          <w:b w:val="false"/>
          <w:i w:val="false"/>
          <w:caps w:val="false"/>
          <w:smallCaps w:val="false"/>
          <w:color w:val="000000"/>
          <w:spacing w:val="0"/>
          <w:sz w:val="24"/>
          <w:szCs w:val="24"/>
        </w:rPr>
        <w:t xml:space="preserve">La HVDA produce más de 500.000 hospitalizaciones anuales, con una incidencia de 170 casos/100.000 personas año. Las causas más frecuentes son: úlcera péptica, erosiones gastroduodenales, várices esofágicas y el síndrome Mallory Weiss. En Colombia, se encontró que la causa más frecuente de HVDA no varicosa corresponde a las úlceras pépticas, siendo más frecuente las de localización gástrica, seguido de las duodenales; lo que contrasta con los países desarrollados donde la principal causa corresponde a la úlcera duodenal. </w:t>
      </w:r>
    </w:p>
    <w:p>
      <w:pPr>
        <w:pStyle w:val="Cuerpodetexto"/>
        <w:widowControl/>
        <w:spacing w:lineRule="auto" w:line="240"/>
        <w:ind w:left="0" w:right="0" w:hanging="0"/>
        <w:jc w:val="both"/>
        <w:rPr>
          <w:rFonts w:ascii="Arial" w:hAnsi="Arial"/>
          <w:b w:val="false"/>
          <w:i w:val="false"/>
          <w:i w:val="false"/>
          <w:caps w:val="false"/>
          <w:smallCaps w:val="false"/>
          <w:color w:val="000000"/>
          <w:spacing w:val="0"/>
          <w:sz w:val="24"/>
          <w:szCs w:val="24"/>
        </w:rPr>
      </w:pPr>
      <w:r>
        <w:rPr>
          <w:b w:val="false"/>
          <w:i w:val="false"/>
          <w:caps w:val="false"/>
          <w:smallCaps w:val="false"/>
          <w:color w:val="000000"/>
          <w:spacing w:val="0"/>
          <w:sz w:val="24"/>
          <w:szCs w:val="24"/>
        </w:rPr>
        <w:t>La hemorragia gastrointestinal alta no varicosa se ha relacionado con factores de riesgo prevenibles, principalmente consumo de alcohol, infección por Helicobacter pylori (Hp), y consumo de AINES. Aunque la mortalidad asociada a esta patología ha disminuido, aún continúa elevada con tasas alrededor del 10-15%.</w:t>
      </w:r>
    </w:p>
    <w:p>
      <w:pPr>
        <w:pStyle w:val="Cuerpodetexto"/>
        <w:widowControl/>
        <w:spacing w:lineRule="auto" w:line="240"/>
        <w:ind w:left="0" w:right="0" w:hanging="0"/>
        <w:jc w:val="both"/>
        <w:rPr>
          <w:rFonts w:ascii="Arial" w:hAnsi="Arial"/>
          <w:b w:val="false"/>
          <w:i w:val="false"/>
          <w:i w:val="false"/>
          <w:caps w:val="false"/>
          <w:smallCaps w:val="false"/>
          <w:color w:val="000000"/>
          <w:spacing w:val="0"/>
          <w:sz w:val="24"/>
          <w:szCs w:val="24"/>
        </w:rPr>
      </w:pPr>
      <w:r>
        <w:rPr>
          <w:b w:val="false"/>
          <w:i w:val="false"/>
          <w:caps w:val="false"/>
          <w:smallCaps w:val="false"/>
          <w:color w:val="000000"/>
          <w:spacing w:val="0"/>
          <w:sz w:val="24"/>
          <w:szCs w:val="24"/>
        </w:rPr>
      </w:r>
    </w:p>
    <w:p>
      <w:pPr>
        <w:pStyle w:val="Cuerpodetexto"/>
        <w:widowControl/>
        <w:spacing w:lineRule="auto" w:line="240"/>
        <w:ind w:left="0" w:right="0" w:hanging="0"/>
        <w:jc w:val="both"/>
        <w:rPr>
          <w:rFonts w:ascii="Arial" w:hAnsi="Arial"/>
          <w:b w:val="false"/>
          <w:i w:val="false"/>
          <w:i w:val="false"/>
          <w:caps w:val="false"/>
          <w:smallCaps w:val="false"/>
          <w:color w:val="000000"/>
          <w:spacing w:val="0"/>
          <w:sz w:val="24"/>
          <w:szCs w:val="24"/>
        </w:rPr>
      </w:pPr>
      <w:r>
        <w:rPr>
          <w:b w:val="false"/>
          <w:i w:val="false"/>
          <w:caps w:val="false"/>
          <w:smallCaps w:val="false"/>
          <w:color w:val="000000"/>
          <w:spacing w:val="0"/>
          <w:sz w:val="24"/>
          <w:szCs w:val="24"/>
        </w:rPr>
      </w:r>
    </w:p>
    <w:p>
      <w:pPr>
        <w:pStyle w:val="Cuerpodetexto"/>
        <w:widowControl/>
        <w:spacing w:lineRule="auto" w:line="240"/>
        <w:ind w:left="0" w:right="0" w:hanging="0"/>
        <w:jc w:val="both"/>
        <w:rPr>
          <w:rFonts w:ascii="Arial" w:hAnsi="Arial"/>
          <w:b/>
          <w:i w:val="false"/>
          <w:i w:val="false"/>
          <w:caps w:val="false"/>
          <w:smallCaps w:val="false"/>
          <w:color w:val="000000"/>
          <w:spacing w:val="0"/>
          <w:sz w:val="24"/>
          <w:szCs w:val="24"/>
        </w:rPr>
      </w:pPr>
      <w:r>
        <w:rPr>
          <w:b/>
          <w:bCs/>
          <w:i w:val="false"/>
          <w:caps w:val="false"/>
          <w:smallCaps w:val="false"/>
          <w:color w:val="000000"/>
          <w:spacing w:val="0"/>
          <w:sz w:val="24"/>
          <w:szCs w:val="24"/>
        </w:rPr>
        <w:t xml:space="preserve">Hemorragia de vías digestivas altas variceal </w:t>
      </w:r>
    </w:p>
    <w:p>
      <w:pPr>
        <w:pStyle w:val="Cuerpodetexto"/>
        <w:widowControl/>
        <w:spacing w:lineRule="auto" w:line="240"/>
        <w:ind w:left="0" w:right="0" w:hanging="0"/>
        <w:jc w:val="both"/>
        <w:rPr>
          <w:rFonts w:ascii="Arial" w:hAnsi="Arial"/>
          <w:b w:val="false"/>
          <w:bCs w:val="false"/>
          <w:i w:val="false"/>
          <w:i w:val="false"/>
          <w:caps w:val="false"/>
          <w:smallCaps w:val="false"/>
          <w:color w:val="000000"/>
          <w:spacing w:val="0"/>
          <w:sz w:val="24"/>
          <w:szCs w:val="24"/>
        </w:rPr>
      </w:pPr>
      <w:r>
        <w:rPr>
          <w:b w:val="false"/>
          <w:bCs w:val="false"/>
          <w:i w:val="false"/>
          <w:caps w:val="false"/>
          <w:smallCaps w:val="false"/>
          <w:color w:val="000000"/>
          <w:spacing w:val="0"/>
          <w:sz w:val="24"/>
          <w:szCs w:val="24"/>
        </w:rPr>
        <w:t xml:space="preserve">La hipertensión portal es la complicación que se asocia con mayor frecuencia a la enfermedad hepática crónica, originando las manifestaciones clínicas más severas de cirrosis como son sangrado por várices gastroesofágicas, gastropatía hipertensiva portal, ascitis, peritonitis bacteriana espontánea, síndrome hepato-renal, encefalopatía hepática, síndrome hepatopulmonar y porto-pulmonar, bacteremia e hiperesplenismo. </w:t>
      </w:r>
    </w:p>
    <w:p>
      <w:pPr>
        <w:pStyle w:val="Cuerpodetexto"/>
        <w:widowControl/>
        <w:spacing w:lineRule="auto" w:line="240"/>
        <w:ind w:left="0" w:right="0" w:hanging="0"/>
        <w:jc w:val="both"/>
        <w:rPr>
          <w:rFonts w:ascii="Arial" w:hAnsi="Arial"/>
          <w:b w:val="false"/>
          <w:bCs w:val="false"/>
          <w:i w:val="false"/>
          <w:i w:val="false"/>
          <w:caps w:val="false"/>
          <w:smallCaps w:val="false"/>
          <w:color w:val="000000"/>
          <w:spacing w:val="0"/>
          <w:sz w:val="24"/>
          <w:szCs w:val="24"/>
        </w:rPr>
      </w:pPr>
      <w:r>
        <w:rPr>
          <w:b w:val="false"/>
          <w:bCs w:val="false"/>
          <w:i w:val="false"/>
          <w:caps w:val="false"/>
          <w:smallCaps w:val="false"/>
          <w:color w:val="000000"/>
          <w:spacing w:val="0"/>
          <w:sz w:val="24"/>
          <w:szCs w:val="24"/>
        </w:rPr>
        <w:t>Al momento del diagnóstico, más de la mitad de los pacientes con cirrosis han desarrollado várices gastroesofágicas y con la progresión de la enfermedad se presentan hasta en un 90% de los pacientes. Las várices están presentes en aproximadamente 40% de los pacientes con cirrosis compensada y en el 60% de los que tienen ascitis. La presencia de várices se correlaciona con la gravedad de la enfermedad hepática: 20 a 40% de los pacientes con clase funcional A de Child-Pugh tienen várices gastroesofágicas, comparado con más del 85% de los pacientes con clase C.</w:t>
      </w:r>
    </w:p>
    <w:p>
      <w:pPr>
        <w:pStyle w:val="Cuerpodetexto"/>
        <w:widowControl/>
        <w:spacing w:lineRule="auto" w:line="240"/>
        <w:ind w:left="0" w:right="0" w:hanging="0"/>
        <w:jc w:val="both"/>
        <w:rPr>
          <w:rFonts w:ascii="Arial" w:hAnsi="Arial"/>
          <w:b w:val="false"/>
          <w:bCs w:val="false"/>
          <w:i w:val="false"/>
          <w:i w:val="false"/>
          <w:caps w:val="false"/>
          <w:smallCaps w:val="false"/>
          <w:color w:val="000000"/>
          <w:spacing w:val="0"/>
          <w:sz w:val="24"/>
          <w:szCs w:val="24"/>
        </w:rPr>
      </w:pPr>
      <w:r>
        <w:rPr>
          <w:b w:val="false"/>
          <w:bCs w:val="false"/>
          <w:i w:val="false"/>
          <w:caps w:val="false"/>
          <w:smallCaps w:val="false"/>
          <w:color w:val="000000"/>
          <w:spacing w:val="0"/>
          <w:sz w:val="24"/>
          <w:szCs w:val="24"/>
        </w:rPr>
        <w:t xml:space="preserve">Una de las principales causas de morbi-mortalidad en el paciente con cirrosis es el desarrollo de hemorragia variceal. Cada episodio de sangrado variceal está asociado a 30% de mortalidad y de los pacientes que sobreviven a un sangrado activo, tienen hasta 70% de riesgo de recurrencia dentro del siguiente año. </w:t>
      </w:r>
    </w:p>
    <w:p>
      <w:pPr>
        <w:pStyle w:val="Cuerpodetexto"/>
        <w:widowControl/>
        <w:spacing w:lineRule="auto" w:line="240"/>
        <w:ind w:left="0" w:right="0" w:hanging="0"/>
        <w:jc w:val="both"/>
        <w:rPr>
          <w:rFonts w:ascii="Arial" w:hAnsi="Arial"/>
          <w:b w:val="false"/>
          <w:bCs w:val="false"/>
          <w:i w:val="false"/>
          <w:i w:val="false"/>
          <w:caps w:val="false"/>
          <w:smallCaps w:val="false"/>
          <w:color w:val="000000"/>
          <w:spacing w:val="0"/>
          <w:sz w:val="24"/>
          <w:szCs w:val="24"/>
        </w:rPr>
      </w:pPr>
      <w:r>
        <w:rPr>
          <w:b w:val="false"/>
          <w:bCs w:val="false"/>
          <w:i w:val="false"/>
          <w:caps w:val="false"/>
          <w:smallCaps w:val="false"/>
          <w:color w:val="000000"/>
          <w:spacing w:val="0"/>
          <w:sz w:val="24"/>
          <w:szCs w:val="24"/>
        </w:rPr>
      </w:r>
    </w:p>
    <w:p>
      <w:pPr>
        <w:pStyle w:val="Cuerpodetexto"/>
        <w:widowControl/>
        <w:spacing w:lineRule="auto" w:line="240"/>
        <w:ind w:left="0" w:right="0" w:hanging="0"/>
        <w:jc w:val="both"/>
        <w:rPr>
          <w:rFonts w:ascii="Arial" w:hAnsi="Arial"/>
          <w:b/>
          <w:bCs/>
          <w:i w:val="false"/>
          <w:i w:val="false"/>
          <w:caps w:val="false"/>
          <w:smallCaps w:val="false"/>
          <w:color w:val="000000"/>
          <w:spacing w:val="0"/>
          <w:sz w:val="24"/>
          <w:szCs w:val="24"/>
        </w:rPr>
      </w:pPr>
      <w:r>
        <w:rPr>
          <w:b/>
          <w:bCs/>
          <w:i w:val="false"/>
          <w:caps w:val="false"/>
          <w:smallCaps w:val="false"/>
          <w:color w:val="000000"/>
          <w:spacing w:val="0"/>
          <w:sz w:val="24"/>
          <w:szCs w:val="24"/>
        </w:rPr>
        <w:t>Infección de vías urinarias complicada</w:t>
      </w:r>
    </w:p>
    <w:p>
      <w:pPr>
        <w:pStyle w:val="Cuerpodetexto"/>
        <w:widowControl/>
        <w:spacing w:lineRule="auto" w:line="240"/>
        <w:ind w:left="0" w:right="0" w:hanging="0"/>
        <w:jc w:val="both"/>
        <w:rPr>
          <w:rFonts w:ascii="Arial" w:hAnsi="Arial"/>
          <w:b w:val="false"/>
          <w:bCs w:val="false"/>
          <w:i w:val="false"/>
          <w:i w:val="false"/>
          <w:caps w:val="false"/>
          <w:smallCaps w:val="false"/>
          <w:color w:val="000000"/>
          <w:spacing w:val="0"/>
          <w:sz w:val="24"/>
          <w:szCs w:val="24"/>
        </w:rPr>
      </w:pPr>
      <w:r>
        <w:rPr>
          <w:b w:val="false"/>
          <w:bCs w:val="false"/>
          <w:i w:val="false"/>
          <w:caps w:val="false"/>
          <w:smallCaps w:val="false"/>
          <w:color w:val="000000"/>
          <w:spacing w:val="0"/>
          <w:sz w:val="24"/>
          <w:szCs w:val="24"/>
        </w:rPr>
        <w:t xml:space="preserve">La infección de vías urinarias (IVU) es la infección que ocurre en alguna de las estructuras del tracto urinario, incluyendo uretra (uretritis), vejiga (cistitis), uréteres (ureteritis) y riñones (pielonefritis); se define a la IVU complicada como la infección que ocurre en pacientes con comorbilidades o con anomalías estructurales o funcionales del tracto urinario que pueden condicionar un mayor riesgo de desarrollar complciaciones, un curso clínico grave, fracaso terapéutico o recurrencia de la infección, la cual incluye un amplio grupo de pacientes y patologías (ej: mujeres posmenopáusicas, hombres adultos, pacientes con patología urológica, usuarios de catéter urinario, adultos mayores, pacientes con diagnóstico de diabetes, etc). </w:t>
      </w:r>
    </w:p>
    <w:p>
      <w:pPr>
        <w:pStyle w:val="Cuerpodetexto"/>
        <w:widowControl/>
        <w:spacing w:lineRule="auto" w:line="240"/>
        <w:ind w:left="0" w:right="0" w:hanging="0"/>
        <w:jc w:val="both"/>
        <w:rPr>
          <w:rFonts w:ascii="Arial" w:hAnsi="Arial"/>
          <w:b w:val="false"/>
          <w:bCs w:val="false"/>
          <w:i w:val="false"/>
          <w:i w:val="false"/>
          <w:caps w:val="false"/>
          <w:smallCaps w:val="false"/>
          <w:color w:val="000000"/>
          <w:spacing w:val="0"/>
          <w:sz w:val="24"/>
          <w:szCs w:val="24"/>
        </w:rPr>
      </w:pPr>
      <w:r>
        <w:rPr>
          <w:b w:val="false"/>
          <w:bCs w:val="false"/>
          <w:i w:val="false"/>
          <w:caps w:val="false"/>
          <w:smallCaps w:val="false"/>
          <w:color w:val="000000"/>
          <w:spacing w:val="0"/>
          <w:sz w:val="24"/>
          <w:szCs w:val="24"/>
        </w:rPr>
        <w:t xml:space="preserve">Dado el uso de agentes antimicrobianos como parte del tratamiento de la IVU complicada, su adecuado diagnóstico y tratamiento tiene un impacto en el desarrollo de la resistencia a los antimicrobianos, situación considerada por la organización Mundial de la Salud (OMS) desde el 2014 como un problema de salud pública, incluyendo el listado de patógenos multirresistentes prioritarios especies como Escherichia coli y Klebsiella pneumoniae productores de betalactamasas de espectro extendido y/o resistencia a carbapenémicos, los cuales son algunos de los principales agentes etiológicos de la IVU complicada. </w:t>
      </w:r>
    </w:p>
    <w:p>
      <w:pPr>
        <w:pStyle w:val="Cuerpodetexto"/>
        <w:widowControl/>
        <w:spacing w:lineRule="auto" w:line="240"/>
        <w:ind w:left="0" w:right="0" w:hanging="0"/>
        <w:jc w:val="both"/>
        <w:rPr>
          <w:rFonts w:ascii="Arial" w:hAnsi="Arial"/>
          <w:b w:val="false"/>
          <w:bCs w:val="false"/>
          <w:i w:val="false"/>
          <w:i w:val="false"/>
          <w:caps w:val="false"/>
          <w:smallCaps w:val="false"/>
          <w:color w:val="000000"/>
          <w:spacing w:val="0"/>
          <w:sz w:val="24"/>
          <w:szCs w:val="24"/>
        </w:rPr>
      </w:pPr>
      <w:r>
        <w:rPr>
          <w:b w:val="false"/>
          <w:bCs w:val="false"/>
          <w:i w:val="false"/>
          <w:caps w:val="false"/>
          <w:smallCaps w:val="false"/>
          <w:color w:val="000000"/>
          <w:spacing w:val="0"/>
          <w:sz w:val="24"/>
          <w:szCs w:val="24"/>
        </w:rPr>
      </w:r>
    </w:p>
    <w:p>
      <w:pPr>
        <w:pStyle w:val="Cuerpodetexto"/>
        <w:widowControl/>
        <w:spacing w:lineRule="auto" w:line="240"/>
        <w:ind w:left="0" w:right="0" w:hanging="0"/>
        <w:jc w:val="both"/>
        <w:rPr>
          <w:rFonts w:ascii="Arial" w:hAnsi="Arial"/>
          <w:b/>
          <w:bCs/>
          <w:color w:val="000000"/>
        </w:rPr>
      </w:pPr>
      <w:r>
        <w:rPr>
          <w:b/>
          <w:bCs/>
          <w:color w:val="000000"/>
        </w:rPr>
        <w:t>Neumonía en adultos</w:t>
      </w:r>
    </w:p>
    <w:p>
      <w:pPr>
        <w:pStyle w:val="ListParagraph"/>
        <w:tabs>
          <w:tab w:val="clear" w:pos="720"/>
          <w:tab w:val="left" w:pos="829" w:leader="none"/>
        </w:tabs>
        <w:ind w:left="0" w:right="0" w:hanging="0"/>
        <w:jc w:val="both"/>
        <w:rPr>
          <w:rFonts w:ascii="Arial" w:hAnsi="Arial"/>
          <w:b w:val="false"/>
          <w:bCs w:val="false"/>
          <w:sz w:val="24"/>
          <w:szCs w:val="24"/>
        </w:rPr>
      </w:pPr>
      <w:r>
        <w:rPr>
          <w:b w:val="false"/>
          <w:bCs w:val="false"/>
          <w:sz w:val="24"/>
          <w:szCs w:val="24"/>
        </w:rPr>
        <w:t xml:space="preserve">La neumonía es una infección que puede afectar uno o ambos pulmones y cuya sintomatología puede variar de leve a grave, incluyendo tos (con o sin mocos), fiebre, escalofríos y dificultad para respirar. El grado de severidad de la neumonía depende de factores como la edad, el estado de salud general y la causa de la infección. </w:t>
      </w:r>
    </w:p>
    <w:p>
      <w:pPr>
        <w:pStyle w:val="ListParagraph"/>
        <w:tabs>
          <w:tab w:val="clear" w:pos="720"/>
          <w:tab w:val="left" w:pos="829" w:leader="none"/>
        </w:tabs>
        <w:ind w:left="828" w:right="0" w:hanging="361"/>
        <w:jc w:val="both"/>
        <w:rPr>
          <w:rFonts w:ascii="Arial" w:hAnsi="Arial"/>
          <w:b w:val="false"/>
          <w:bCs w:val="false"/>
          <w:sz w:val="24"/>
          <w:szCs w:val="24"/>
        </w:rPr>
      </w:pPr>
      <w:r>
        <w:rPr>
          <w:b w:val="false"/>
          <w:bCs w:val="false"/>
          <w:sz w:val="24"/>
          <w:szCs w:val="24"/>
        </w:rPr>
      </w:r>
    </w:p>
    <w:p>
      <w:pPr>
        <w:pStyle w:val="ListParagraph"/>
        <w:tabs>
          <w:tab w:val="clear" w:pos="720"/>
          <w:tab w:val="left" w:pos="829" w:leader="none"/>
        </w:tabs>
        <w:ind w:left="0" w:right="0" w:hanging="0"/>
        <w:jc w:val="both"/>
        <w:rPr>
          <w:rFonts w:ascii="Arial" w:hAnsi="Arial"/>
          <w:b w:val="false"/>
          <w:bCs w:val="false"/>
          <w:sz w:val="24"/>
          <w:szCs w:val="24"/>
        </w:rPr>
      </w:pPr>
      <w:r>
        <w:rPr>
          <w:b w:val="false"/>
          <w:bCs w:val="false"/>
          <w:sz w:val="24"/>
          <w:szCs w:val="24"/>
        </w:rPr>
        <w:t xml:space="preserve">La neumonía sigue siendo una de las principales causas de consulta y de hospitalización a la que, además de su un alto impacto en términos de morbilidad y mortalidad, se suma la actual problemática de resistencia a los antimicrobianos, por lo que establecer directrices que permitan su adecuado diagnóstico y tratamiento es de gran importancia para obtener mejores desenlaces clínicos y promover un uso racional de antibióticos en estos pacientes. </w:t>
      </w:r>
    </w:p>
    <w:p>
      <w:pPr>
        <w:pStyle w:val="ListParagraph"/>
        <w:tabs>
          <w:tab w:val="clear" w:pos="720"/>
          <w:tab w:val="left" w:pos="829" w:leader="none"/>
        </w:tabs>
        <w:ind w:left="828" w:right="0" w:hanging="361"/>
        <w:jc w:val="both"/>
        <w:rPr>
          <w:rFonts w:ascii="Arial" w:hAnsi="Arial"/>
          <w:b w:val="false"/>
          <w:bCs w:val="false"/>
          <w:sz w:val="24"/>
          <w:szCs w:val="24"/>
        </w:rPr>
      </w:pPr>
      <w:r>
        <w:rPr>
          <w:b w:val="false"/>
          <w:bCs w:val="false"/>
          <w:sz w:val="24"/>
          <w:szCs w:val="24"/>
        </w:rPr>
      </w:r>
    </w:p>
    <w:p>
      <w:pPr>
        <w:pStyle w:val="ListParagraph"/>
        <w:tabs>
          <w:tab w:val="clear" w:pos="720"/>
          <w:tab w:val="left" w:pos="829" w:leader="none"/>
        </w:tabs>
        <w:ind w:left="0" w:right="0" w:hanging="0"/>
        <w:jc w:val="both"/>
        <w:rPr>
          <w:rFonts w:ascii="Arial" w:hAnsi="Arial"/>
          <w:sz w:val="24"/>
          <w:szCs w:val="24"/>
        </w:rPr>
      </w:pPr>
      <w:r>
        <w:rPr>
          <w:sz w:val="24"/>
          <w:szCs w:val="24"/>
        </w:rPr>
        <w:t>En Colombia, para 2010 la población de 80 o más años fue el grupo etario con las tasas anuales más altas de consulta y de hospitalización (873 consultas y 100 hospitalizaciones por cada 1 000 personas-año, respectivamente); además, la infección del tracto respiratorio inferior fue la enfermedad con la segunda tasa de incidencia anual más alta (2 232 casos nuevos por cada 100 000 personas).</w:t>
      </w:r>
    </w:p>
    <w:p>
      <w:pPr>
        <w:pStyle w:val="ListParagraph"/>
        <w:tabs>
          <w:tab w:val="clear" w:pos="720"/>
          <w:tab w:val="left" w:pos="829" w:leader="none"/>
        </w:tabs>
        <w:ind w:left="828" w:right="0" w:hanging="361"/>
        <w:jc w:val="both"/>
        <w:rPr>
          <w:rFonts w:ascii="Arial" w:hAnsi="Arial"/>
          <w:sz w:val="24"/>
          <w:szCs w:val="24"/>
        </w:rPr>
      </w:pPr>
      <w:r>
        <w:rPr>
          <w:sz w:val="24"/>
          <w:szCs w:val="24"/>
        </w:rPr>
      </w:r>
    </w:p>
    <w:p>
      <w:pPr>
        <w:pStyle w:val="ListParagraph"/>
        <w:tabs>
          <w:tab w:val="clear" w:pos="720"/>
          <w:tab w:val="left" w:pos="829" w:leader="none"/>
        </w:tabs>
        <w:ind w:left="0" w:right="0" w:hanging="0"/>
        <w:jc w:val="both"/>
        <w:rPr/>
      </w:pPr>
      <w:r>
        <w:rPr/>
        <w:t xml:space="preserve">Además de su impacto en términos de morbilidad y mortalidad, y debido a que el uso de antimicrobianos es una de las opciones terapéuticas a considerar en el tratamiento de la neumonía, su adecuado diagnóstico y tratamiento tiene un impacto en el desarrollo de resistencia a los antimicrobianos, situación que, desde 2014, es considerada como un problema de salud pública por la Organización Mundial de la Salud (OMS), incluyendo en el listado de especies cuya resistencia a antimicrobianos es más preocupante a microorganismos adquiridos en la comunidad como Streptococcus pneumoniae, uno de los principales agentes etiológicos de la neumonía adquirida en la comunidad (NAC), definida como la infección aguda del parénquima pulmonar que se adquiere en un entorno comunitario y que no está asociada a la atención en salud en un entorno hospitalario, hogar de ancianos u otro centro de atención médica. </w:t>
      </w:r>
    </w:p>
    <w:p>
      <w:pPr>
        <w:pStyle w:val="ListParagraph"/>
        <w:tabs>
          <w:tab w:val="clear" w:pos="720"/>
          <w:tab w:val="left" w:pos="829" w:leader="none"/>
        </w:tabs>
        <w:ind w:left="0" w:right="0" w:hanging="0"/>
        <w:jc w:val="both"/>
        <w:rPr/>
      </w:pPr>
      <w:r>
        <w:rPr/>
      </w:r>
    </w:p>
    <w:p>
      <w:pPr>
        <w:pStyle w:val="Normal"/>
        <w:jc w:val="both"/>
        <w:rPr>
          <w:rFonts w:ascii="Arial" w:hAnsi="Arial"/>
          <w:b/>
          <w:bCs/>
        </w:rPr>
      </w:pPr>
      <w:r>
        <w:rPr>
          <w:rFonts w:ascii="Arial" w:hAnsi="Arial"/>
          <w:b/>
          <w:bCs/>
        </w:rPr>
        <w:t>Insuficiencia cardiaca aguda y crónica</w:t>
      </w:r>
    </w:p>
    <w:p>
      <w:pPr>
        <w:pStyle w:val="Normal"/>
        <w:jc w:val="both"/>
        <w:rPr>
          <w:rFonts w:ascii="Arial" w:hAnsi="Arial"/>
        </w:rPr>
      </w:pPr>
      <w:r>
        <w:rPr>
          <w:rFonts w:ascii="Arial" w:hAnsi="Arial"/>
        </w:rPr>
      </w:r>
    </w:p>
    <w:p>
      <w:pPr>
        <w:pStyle w:val="Normal"/>
        <w:jc w:val="both"/>
        <w:rPr>
          <w:rFonts w:ascii="Arial" w:hAnsi="Arial"/>
        </w:rPr>
      </w:pPr>
      <w:r>
        <w:rPr>
          <w:rFonts w:ascii="Arial" w:hAnsi="Arial"/>
        </w:rPr>
        <w:t>La Insuficiencia Cardiaca (IC) no es un diagnó</w:t>
      </w:r>
      <w:r>
        <w:rPr>
          <w:rFonts w:ascii="Arial" w:hAnsi="Arial"/>
        </w:rPr>
        <w:t>s</w:t>
      </w:r>
      <w:r>
        <w:rPr>
          <w:rFonts w:ascii="Arial" w:hAnsi="Arial"/>
        </w:rPr>
        <w:t xml:space="preserve">tico patológico único, sino que se trata de un síndrome clínico caracterizado por síntomas típicos (disnea, inflamación de tobillos y fatiga) que puede acompañarse de signos como presión yugular elevada, crépitos pulmonares y edema periférico, causados por una anomalía cardiaca estructural o funcional que producen una elevación de las presiones intracardiacas o un gasto cardiaco inadecuado en reposo o durante el ejercicio. La identificación de la etiología de la disfunción cardiaca subyacente es fundamental para el diagnóstico de la IC, ya que la afección específica puede determinar el tratamiento. Normalmente, la IC está causada por una disfunción miocárdica, ya sea sistólica, diastólica o ambas. No obstante, las anomalías de válvulas, pericardio, endocardio, ritmo cardiaco y conducción también pueden causar o contribuir a la IC. </w:t>
      </w:r>
    </w:p>
    <w:sectPr>
      <w:type w:val="nextPage"/>
      <w:pgSz w:w="11906" w:h="16838"/>
      <w:pgMar w:left="1440" w:right="1440" w:gutter="0" w:header="0" w:top="1440" w:footer="0" w:bottom="1440"/>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Liberation Sans">
    <w:altName w:val="Arial"/>
    <w:charset w:val="00"/>
    <w:family w:val="roman"/>
    <w:pitch w:val="variable"/>
  </w:font>
</w:fonts>
</file>

<file path=word/settings.xml><?xml version="1.0" encoding="utf-8"?>
<w:settings xmlns:w="http://schemas.openxmlformats.org/wordprocessingml/2006/main">
  <w:zoom w:percent="140"/>
  <w:defaultTabStop w:val="720"/>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sz w:val="22"/>
        <w:szCs w:val="22"/>
        <w:lang w:val="en-US" w:eastAsia="zh-CN" w:bidi="hi-IN"/>
      </w:rPr>
    </w:rPrDefault>
    <w:pPrDefault>
      <w:pPr>
        <w:suppressAutoHyphens w:val="true"/>
      </w:pPr>
    </w:pPrDefault>
  </w:docDefaults>
  <w:style w:type="paragraph" w:styleId="Normal">
    <w:name w:val="Normal"/>
    <w:qFormat/>
    <w:pPr>
      <w:widowControl/>
      <w:suppressAutoHyphens w:val="true"/>
      <w:bidi w:val="0"/>
      <w:spacing w:lineRule="auto" w:line="276" w:before="0" w:after="0"/>
      <w:jc w:val="left"/>
    </w:pPr>
    <w:rPr>
      <w:rFonts w:ascii="Arial" w:hAnsi="Arial" w:eastAsia="Arial" w:cs="Arial"/>
      <w:color w:val="auto"/>
      <w:kern w:val="0"/>
      <w:sz w:val="22"/>
      <w:szCs w:val="22"/>
      <w:lang w:val="en-US" w:eastAsia="zh-CN" w:bidi="hi-IN"/>
    </w:rPr>
  </w:style>
  <w:style w:type="paragraph" w:styleId="Ttulo1">
    <w:name w:val="Heading 1"/>
    <w:basedOn w:val="LO-normal"/>
    <w:next w:val="LO-normal"/>
    <w:qFormat/>
    <w:pPr>
      <w:keepNext w:val="true"/>
      <w:keepLines/>
      <w:pageBreakBefore w:val="false"/>
      <w:spacing w:lineRule="auto" w:line="240" w:before="400" w:after="120"/>
    </w:pPr>
    <w:rPr>
      <w:sz w:val="40"/>
      <w:szCs w:val="40"/>
    </w:rPr>
  </w:style>
  <w:style w:type="paragraph" w:styleId="Ttulo2">
    <w:name w:val="Heading 2"/>
    <w:basedOn w:val="LO-normal"/>
    <w:next w:val="LO-normal"/>
    <w:qFormat/>
    <w:pPr>
      <w:keepNext w:val="true"/>
      <w:keepLines/>
      <w:pageBreakBefore w:val="false"/>
      <w:spacing w:lineRule="auto" w:line="240" w:before="360" w:after="120"/>
    </w:pPr>
    <w:rPr>
      <w:b w:val="false"/>
      <w:sz w:val="32"/>
      <w:szCs w:val="32"/>
    </w:rPr>
  </w:style>
  <w:style w:type="paragraph" w:styleId="Ttulo3">
    <w:name w:val="Heading 3"/>
    <w:basedOn w:val="LO-normal"/>
    <w:next w:val="LO-normal"/>
    <w:qFormat/>
    <w:pPr>
      <w:keepNext w:val="true"/>
      <w:keepLines/>
      <w:pageBreakBefore w:val="false"/>
      <w:spacing w:lineRule="auto" w:line="240" w:before="320" w:after="80"/>
    </w:pPr>
    <w:rPr>
      <w:b w:val="false"/>
      <w:color w:val="434343"/>
      <w:sz w:val="28"/>
      <w:szCs w:val="28"/>
    </w:rPr>
  </w:style>
  <w:style w:type="paragraph" w:styleId="Ttulo4">
    <w:name w:val="Heading 4"/>
    <w:basedOn w:val="LO-normal"/>
    <w:next w:val="LO-normal"/>
    <w:qFormat/>
    <w:pPr>
      <w:keepNext w:val="true"/>
      <w:keepLines/>
      <w:pageBreakBefore w:val="false"/>
      <w:spacing w:lineRule="auto" w:line="240" w:before="280" w:after="80"/>
    </w:pPr>
    <w:rPr>
      <w:color w:val="666666"/>
      <w:sz w:val="24"/>
      <w:szCs w:val="24"/>
    </w:rPr>
  </w:style>
  <w:style w:type="paragraph" w:styleId="Ttulo5">
    <w:name w:val="Heading 5"/>
    <w:basedOn w:val="LO-normal"/>
    <w:next w:val="LO-normal"/>
    <w:qFormat/>
    <w:pPr>
      <w:keepNext w:val="true"/>
      <w:keepLines/>
      <w:pageBreakBefore w:val="false"/>
      <w:spacing w:lineRule="auto" w:line="240" w:before="240" w:after="80"/>
    </w:pPr>
    <w:rPr>
      <w:color w:val="666666"/>
      <w:sz w:val="22"/>
      <w:szCs w:val="22"/>
    </w:rPr>
  </w:style>
  <w:style w:type="paragraph" w:styleId="Ttulo6">
    <w:name w:val="Heading 6"/>
    <w:basedOn w:val="LO-normal"/>
    <w:next w:val="LO-normal"/>
    <w:qFormat/>
    <w:pPr>
      <w:keepNext w:val="true"/>
      <w:keepLines/>
      <w:pageBreakBefore w:val="false"/>
      <w:spacing w:lineRule="auto" w:line="240" w:before="240" w:after="80"/>
    </w:pPr>
    <w:rPr>
      <w:i/>
      <w:color w:val="666666"/>
      <w:sz w:val="22"/>
      <w:szCs w:val="22"/>
    </w:rPr>
  </w:style>
  <w:style w:type="paragraph" w:styleId="Ttulo">
    <w:name w:val="Título"/>
    <w:basedOn w:val="Normal"/>
    <w:next w:val="Cuerpodetexto"/>
    <w:qFormat/>
    <w:pPr>
      <w:keepNext w:val="true"/>
      <w:spacing w:before="240" w:after="120"/>
    </w:pPr>
    <w:rPr>
      <w:rFonts w:ascii="Liberation Sans" w:hAnsi="Liberation Sans" w:eastAsia="Microsoft YaHei" w:cs="Lucida Sans"/>
      <w:sz w:val="28"/>
      <w:szCs w:val="28"/>
    </w:rPr>
  </w:style>
  <w:style w:type="paragraph" w:styleId="Cuerpodetexto">
    <w:name w:val="Body Text"/>
    <w:basedOn w:val="Normal"/>
    <w:pPr>
      <w:spacing w:lineRule="auto" w:line="276" w:before="0" w:after="140"/>
    </w:pPr>
    <w:rPr/>
  </w:style>
  <w:style w:type="paragraph" w:styleId="Lista">
    <w:name w:val="List"/>
    <w:basedOn w:val="Cuerpodetexto"/>
    <w:pPr/>
    <w:rPr>
      <w:rFonts w:cs="Lucida Sans"/>
    </w:rPr>
  </w:style>
  <w:style w:type="paragraph" w:styleId="Ley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LO-normal" w:default="1">
    <w:name w:val="LO-normal"/>
    <w:qFormat/>
    <w:pPr>
      <w:widowControl/>
      <w:suppressAutoHyphens w:val="true"/>
      <w:bidi w:val="0"/>
      <w:spacing w:lineRule="auto" w:line="276" w:before="0" w:after="0"/>
      <w:jc w:val="left"/>
    </w:pPr>
    <w:rPr>
      <w:rFonts w:ascii="Arial" w:hAnsi="Arial" w:eastAsia="Arial" w:cs="Arial"/>
      <w:color w:val="auto"/>
      <w:kern w:val="0"/>
      <w:sz w:val="22"/>
      <w:szCs w:val="22"/>
      <w:lang w:val="en-US" w:eastAsia="zh-CN" w:bidi="hi-IN"/>
    </w:rPr>
  </w:style>
  <w:style w:type="paragraph" w:styleId="Ttulogeneral">
    <w:name w:val="Title"/>
    <w:basedOn w:val="LO-normal"/>
    <w:next w:val="LO-normal"/>
    <w:qFormat/>
    <w:pPr>
      <w:keepNext w:val="true"/>
      <w:keepLines/>
      <w:pageBreakBefore w:val="false"/>
      <w:spacing w:lineRule="auto" w:line="240" w:before="0" w:after="60"/>
    </w:pPr>
    <w:rPr>
      <w:sz w:val="52"/>
      <w:szCs w:val="52"/>
    </w:rPr>
  </w:style>
  <w:style w:type="paragraph" w:styleId="Subttulo">
    <w:name w:val="Subtitle"/>
    <w:basedOn w:val="LO-normal"/>
    <w:next w:val="LO-normal"/>
    <w:qFormat/>
    <w:pPr>
      <w:keepNext w:val="true"/>
      <w:keepLines/>
      <w:pageBreakBefore w:val="false"/>
      <w:spacing w:lineRule="auto" w:line="240" w:before="0" w:after="320"/>
    </w:pPr>
    <w:rPr>
      <w:rFonts w:ascii="Arial" w:hAnsi="Arial" w:eastAsia="Arial" w:cs="Arial"/>
      <w:i w:val="false"/>
      <w:color w:val="666666"/>
      <w:sz w:val="30"/>
      <w:szCs w:val="30"/>
    </w:rPr>
  </w:style>
  <w:style w:type="paragraph" w:styleId="ListParagraph">
    <w:name w:val="List Paragraph"/>
    <w:basedOn w:val="Normal"/>
    <w:qFormat/>
    <w:pPr>
      <w:ind w:left="1188" w:right="0" w:hanging="361"/>
    </w:pPr>
    <w:rPr/>
  </w:style>
  <w:style w:type="table" w:default="1" w:styleId="TableNormal">
    <w:name w:val="Table Normal"/>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
  <TotalTime>4</TotalTime>
  <Application>LibreOffice/7.5.3.2$Windows_X86_64 LibreOffice_project/9f56dff12ba03b9acd7730a5a481eea045e468f3</Application>
  <AppVersion>15.0000</AppVersion>
  <Pages>6</Pages>
  <Words>2514</Words>
  <Characters>13660</Characters>
  <CharactersWithSpaces>16158</CharactersWithSpaces>
  <Paragraphs>45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es-CO</dc:language>
  <cp:lastModifiedBy/>
  <dcterms:modified xsi:type="dcterms:W3CDTF">2025-02-20T09:18:52Z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